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221"/>
        <w:gridCol w:w="1221"/>
      </w:tblGrid>
      <w:tr w:rsidR="00746A8C" w:rsidRPr="00746A8C" w14:paraId="4272CFF2" w14:textId="77777777" w:rsidTr="00054B99">
        <w:tc>
          <w:tcPr>
            <w:tcW w:w="10801" w:type="dxa"/>
            <w:gridSpan w:val="3"/>
          </w:tcPr>
          <w:p w14:paraId="67C66DE5" w14:textId="77777777" w:rsidR="00746A8C" w:rsidRPr="00746A8C" w:rsidRDefault="00746A8C" w:rsidP="00746A8C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746A8C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INSTRUKCJA UŻYCIA</w:t>
            </w:r>
          </w:p>
        </w:tc>
      </w:tr>
      <w:tr w:rsidR="00746A8C" w:rsidRPr="00746A8C" w14:paraId="6FCB54E6" w14:textId="77777777" w:rsidTr="007E0C91">
        <w:trPr>
          <w:trHeight w:val="386"/>
        </w:trPr>
        <w:tc>
          <w:tcPr>
            <w:tcW w:w="8359" w:type="dxa"/>
            <w:vAlign w:val="center"/>
          </w:tcPr>
          <w:p w14:paraId="49A04404" w14:textId="12D78043" w:rsidR="00746A8C" w:rsidRPr="00746A8C" w:rsidRDefault="008D0EF6" w:rsidP="00746A8C">
            <w:pPr>
              <w:rPr>
                <w:rFonts w:asciiTheme="majorHAnsi" w:hAnsiTheme="majorHAnsi" w:cstheme="majorHAnsi"/>
              </w:rPr>
            </w:pPr>
            <w:proofErr w:type="spellStart"/>
            <w:r w:rsidRPr="008D0EF6">
              <w:rPr>
                <w:rFonts w:ascii="Calibri Light" w:hAnsi="Calibri Light" w:cs="Calibri Light"/>
                <w:sz w:val="28"/>
                <w:szCs w:val="28"/>
              </w:rPr>
              <w:t>SłuchKids</w:t>
            </w:r>
            <w:proofErr w:type="spellEnd"/>
            <w:r w:rsidRPr="008D0EF6">
              <w:rPr>
                <w:rFonts w:ascii="Calibri Light" w:hAnsi="Calibri Light" w:cs="Calibri Light"/>
                <w:sz w:val="28"/>
                <w:szCs w:val="28"/>
              </w:rPr>
              <w:t xml:space="preserve"> - program </w:t>
            </w:r>
            <w:proofErr w:type="spellStart"/>
            <w:r w:rsidRPr="008D0EF6">
              <w:rPr>
                <w:rFonts w:ascii="Calibri Light" w:hAnsi="Calibri Light" w:cs="Calibri Light"/>
                <w:sz w:val="28"/>
                <w:szCs w:val="28"/>
              </w:rPr>
              <w:t>mulitmedialny</w:t>
            </w:r>
            <w:proofErr w:type="spellEnd"/>
            <w:r w:rsidRPr="008D0EF6">
              <w:rPr>
                <w:rFonts w:ascii="Calibri Light" w:hAnsi="Calibri Light" w:cs="Calibri Light"/>
                <w:sz w:val="28"/>
                <w:szCs w:val="28"/>
              </w:rPr>
              <w:t xml:space="preserve"> – MED.      </w:t>
            </w:r>
          </w:p>
        </w:tc>
        <w:tc>
          <w:tcPr>
            <w:tcW w:w="1221" w:type="dxa"/>
            <w:vAlign w:val="center"/>
          </w:tcPr>
          <w:p w14:paraId="245E23C6" w14:textId="77777777" w:rsidR="00746A8C" w:rsidRPr="00746A8C" w:rsidRDefault="00746A8C" w:rsidP="00746A8C">
            <w:pPr>
              <w:jc w:val="center"/>
              <w:rPr>
                <w:rFonts w:asciiTheme="majorHAnsi" w:hAnsiTheme="majorHAnsi" w:cstheme="majorHAnsi"/>
              </w:rPr>
            </w:pPr>
            <w:r w:rsidRPr="00746A8C">
              <w:rPr>
                <w:rFonts w:asciiTheme="majorHAnsi" w:hAnsiTheme="majorHAnsi" w:cstheme="majorHAns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F5380C0" wp14:editId="717F3EC2">
                  <wp:simplePos x="0" y="0"/>
                  <wp:positionH relativeFrom="column">
                    <wp:posOffset>5744210</wp:posOffset>
                  </wp:positionH>
                  <wp:positionV relativeFrom="paragraph">
                    <wp:posOffset>915670</wp:posOffset>
                  </wp:positionV>
                  <wp:extent cx="456565" cy="300355"/>
                  <wp:effectExtent l="0" t="0" r="635" b="4445"/>
                  <wp:wrapNone/>
                  <wp:docPr id="1884069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30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A8C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39978B58" wp14:editId="05C973FB">
                  <wp:extent cx="466725" cy="314325"/>
                  <wp:effectExtent l="0" t="0" r="9525" b="9525"/>
                  <wp:docPr id="14188817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vAlign w:val="center"/>
          </w:tcPr>
          <w:p w14:paraId="4A8F1FFF" w14:textId="77777777" w:rsidR="00746A8C" w:rsidRPr="00746A8C" w:rsidRDefault="00746A8C" w:rsidP="007E0C91">
            <w:pPr>
              <w:jc w:val="center"/>
              <w:rPr>
                <w:rFonts w:asciiTheme="majorHAnsi" w:hAnsiTheme="majorHAnsi" w:cstheme="majorHAnsi"/>
              </w:rPr>
            </w:pPr>
            <w:r w:rsidRPr="00746A8C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C7322D3" wp14:editId="080BCCCD">
                  <wp:extent cx="342900" cy="268605"/>
                  <wp:effectExtent l="0" t="0" r="0" b="0"/>
                  <wp:docPr id="6" name="Obraz 6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E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93" b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4DE88" w14:textId="77777777" w:rsidR="003A02ED" w:rsidRPr="00746A8C" w:rsidRDefault="003A02ED" w:rsidP="00746A8C">
      <w:pPr>
        <w:spacing w:after="0"/>
        <w:rPr>
          <w:rFonts w:asciiTheme="majorHAnsi" w:hAnsiTheme="majorHAnsi" w:cstheme="majorHAnsi"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936"/>
      </w:tblGrid>
      <w:tr w:rsidR="008D0EF6" w:rsidRPr="00746A8C" w14:paraId="3C5FF134" w14:textId="77777777" w:rsidTr="00172F24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125A05AA" w14:textId="25A64C39" w:rsidR="008D0EF6" w:rsidRPr="00A31E43" w:rsidRDefault="008D0EF6" w:rsidP="008D0E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  <w:lang w:eastAsia="pl-PL"/>
              </w:rPr>
              <w:t xml:space="preserve">  </w:t>
            </w:r>
            <w:r w:rsidRPr="00746A8C">
              <w:rPr>
                <w:rFonts w:asciiTheme="majorHAnsi" w:hAnsiTheme="majorHAnsi" w:cstheme="majorHAnsi"/>
                <w:b/>
                <w:bCs/>
                <w:noProof/>
                <w:color w:val="000000"/>
                <w:lang w:eastAsia="pl-PL"/>
              </w:rPr>
              <w:drawing>
                <wp:inline distT="0" distB="0" distL="0" distR="0" wp14:anchorId="025E6527" wp14:editId="7A5B2CC1">
                  <wp:extent cx="447675" cy="2476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  <w:lang w:eastAsia="pl-PL"/>
              </w:rPr>
              <w:t xml:space="preserve">   </w:t>
            </w:r>
            <w:r w:rsidR="00680C19">
              <w:rPr>
                <w:rFonts w:ascii="Calibri Light" w:hAnsi="Calibri Light" w:cs="Calibri Light"/>
              </w:rPr>
              <w:t>199379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29800B5" w14:textId="76432164" w:rsidR="008D0EF6" w:rsidRPr="00746A8C" w:rsidRDefault="008D0EF6" w:rsidP="008D0EF6">
            <w:pPr>
              <w:rPr>
                <w:rFonts w:asciiTheme="majorHAnsi" w:hAnsiTheme="majorHAnsi" w:cstheme="majorHAnsi"/>
              </w:rPr>
            </w:pPr>
          </w:p>
        </w:tc>
      </w:tr>
    </w:tbl>
    <w:p w14:paraId="7E96A754" w14:textId="51A2639B" w:rsidR="00746A8C" w:rsidRPr="001148D0" w:rsidRDefault="003C5EED" w:rsidP="001148D0">
      <w:pPr>
        <w:spacing w:after="0"/>
        <w:rPr>
          <w:rFonts w:asciiTheme="majorHAnsi" w:hAnsiTheme="majorHAnsi" w:cstheme="majorHAnsi"/>
          <w:sz w:val="10"/>
          <w:szCs w:val="10"/>
        </w:rPr>
      </w:pPr>
      <w:r>
        <w:rPr>
          <w:rFonts w:asciiTheme="majorHAnsi" w:hAnsiTheme="majorHAnsi" w:cstheme="majorHAnsi"/>
          <w:sz w:val="10"/>
          <w:szCs w:val="10"/>
        </w:rP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148D0" w14:paraId="1FC03463" w14:textId="77777777" w:rsidTr="00435469">
        <w:trPr>
          <w:trHeight w:val="215"/>
        </w:trPr>
        <w:tc>
          <w:tcPr>
            <w:tcW w:w="5381" w:type="dxa"/>
            <w:vAlign w:val="center"/>
          </w:tcPr>
          <w:p w14:paraId="749E45C3" w14:textId="77777777" w:rsidR="001148D0" w:rsidRPr="001148D0" w:rsidRDefault="001148D0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WYDANIA</w:t>
            </w:r>
          </w:p>
        </w:tc>
        <w:tc>
          <w:tcPr>
            <w:tcW w:w="5381" w:type="dxa"/>
            <w:vAlign w:val="center"/>
          </w:tcPr>
          <w:p w14:paraId="76E73A9B" w14:textId="185B4B19" w:rsidR="001148D0" w:rsidRPr="001148D0" w:rsidRDefault="008D0EF6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24.04.2025</w:t>
            </w:r>
          </w:p>
        </w:tc>
      </w:tr>
      <w:tr w:rsidR="001148D0" w14:paraId="2CF79AC3" w14:textId="77777777" w:rsidTr="00435469">
        <w:trPr>
          <w:trHeight w:val="215"/>
        </w:trPr>
        <w:tc>
          <w:tcPr>
            <w:tcW w:w="5381" w:type="dxa"/>
            <w:vAlign w:val="center"/>
          </w:tcPr>
          <w:p w14:paraId="2BA678FB" w14:textId="35B1FDCD" w:rsidR="001148D0" w:rsidRPr="001148D0" w:rsidRDefault="001148D0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48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WERSJA</w:t>
            </w:r>
            <w:r w:rsidR="00D302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INSTRUKCJI</w:t>
            </w:r>
          </w:p>
        </w:tc>
        <w:tc>
          <w:tcPr>
            <w:tcW w:w="5381" w:type="dxa"/>
            <w:vAlign w:val="center"/>
          </w:tcPr>
          <w:p w14:paraId="2C7C05CF" w14:textId="5C53C9C6" w:rsidR="001148D0" w:rsidRPr="001148D0" w:rsidRDefault="001148D0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1148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</w:t>
            </w:r>
            <w:proofErr w:type="spellEnd"/>
            <w:r w:rsidRPr="001148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0</w:t>
            </w:r>
            <w:r w:rsidR="008D0E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D302D5" w14:paraId="15E0E47C" w14:textId="77777777" w:rsidTr="00435469">
        <w:trPr>
          <w:trHeight w:val="215"/>
        </w:trPr>
        <w:tc>
          <w:tcPr>
            <w:tcW w:w="5381" w:type="dxa"/>
            <w:vAlign w:val="center"/>
          </w:tcPr>
          <w:p w14:paraId="4F1C6324" w14:textId="7E54788A" w:rsidR="00D302D5" w:rsidRPr="001148D0" w:rsidRDefault="00D302D5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WERSJA OPROGRAMOWANIA</w:t>
            </w:r>
          </w:p>
        </w:tc>
        <w:tc>
          <w:tcPr>
            <w:tcW w:w="5381" w:type="dxa"/>
            <w:vAlign w:val="center"/>
          </w:tcPr>
          <w:p w14:paraId="0F143924" w14:textId="44148E3A" w:rsidR="00D302D5" w:rsidRPr="001148D0" w:rsidRDefault="00D302D5" w:rsidP="007E0C9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1.1</w:t>
            </w:r>
          </w:p>
        </w:tc>
      </w:tr>
    </w:tbl>
    <w:p w14:paraId="31F8E609" w14:textId="77777777" w:rsidR="001148D0" w:rsidRPr="001148D0" w:rsidRDefault="001148D0" w:rsidP="001148D0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16"/>
      </w:tblGrid>
      <w:tr w:rsidR="001148D0" w14:paraId="1A302012" w14:textId="77777777" w:rsidTr="00435469">
        <w:trPr>
          <w:trHeight w:val="215"/>
        </w:trPr>
        <w:tc>
          <w:tcPr>
            <w:tcW w:w="846" w:type="dxa"/>
            <w:vAlign w:val="center"/>
          </w:tcPr>
          <w:p w14:paraId="349DADC7" w14:textId="77777777" w:rsidR="001148D0" w:rsidRDefault="001148D0" w:rsidP="001148D0">
            <w:pPr>
              <w:jc w:val="center"/>
              <w:rPr>
                <w:rFonts w:asciiTheme="majorHAnsi" w:hAnsiTheme="majorHAnsi" w:cstheme="majorHAnsi"/>
              </w:rPr>
            </w:pPr>
            <w:r w:rsidRPr="008C7C81">
              <w:rPr>
                <w:rFonts w:cs="Calibri Light"/>
                <w:b/>
                <w:bCs/>
                <w:i/>
                <w:iCs/>
                <w:noProof/>
                <w:color w:val="FF0000"/>
                <w:lang w:eastAsia="pl-PL"/>
              </w:rPr>
              <w:drawing>
                <wp:inline distT="0" distB="0" distL="0" distR="0" wp14:anchorId="4A7C9586" wp14:editId="2881167D">
                  <wp:extent cx="188643" cy="144000"/>
                  <wp:effectExtent l="0" t="0" r="1905" b="889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6" w:type="dxa"/>
            <w:vAlign w:val="center"/>
          </w:tcPr>
          <w:p w14:paraId="20208236" w14:textId="394C06AC" w:rsidR="001148D0" w:rsidRPr="001148D0" w:rsidRDefault="001148D0" w:rsidP="007E0C91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148D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UWAGA</w:t>
            </w:r>
            <w:r w:rsidRPr="001148D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ab/>
              <w:t xml:space="preserve">Przed pierwszym użyciem </w:t>
            </w:r>
            <w:r w:rsidR="008D0EF6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programu </w:t>
            </w:r>
            <w:r w:rsidRPr="001148D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przeczytaj dokładnie instrukcję użytkowania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434B0CD5" w14:textId="77777777" w:rsidR="001148D0" w:rsidRPr="007E0C91" w:rsidRDefault="001148D0" w:rsidP="007E0C91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09"/>
        <w:gridCol w:w="1199"/>
        <w:gridCol w:w="1685"/>
        <w:gridCol w:w="3576"/>
        <w:gridCol w:w="3582"/>
      </w:tblGrid>
      <w:tr w:rsidR="007E0C91" w14:paraId="5330DE10" w14:textId="77777777" w:rsidTr="006A1BA4">
        <w:tc>
          <w:tcPr>
            <w:tcW w:w="10767" w:type="dxa"/>
            <w:gridSpan w:val="6"/>
            <w:shd w:val="clear" w:color="auto" w:fill="BFBFBF" w:themeFill="background1" w:themeFillShade="BF"/>
          </w:tcPr>
          <w:p w14:paraId="31382D5C" w14:textId="77777777" w:rsidR="007E0C91" w:rsidRPr="007E0C91" w:rsidRDefault="007E0C91" w:rsidP="004E4C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OBJAŚNIENIA SYMBOLI I WSKAZÓWEK</w:t>
            </w:r>
          </w:p>
        </w:tc>
      </w:tr>
      <w:tr w:rsidR="007E0C91" w14:paraId="194D3F32" w14:textId="77777777" w:rsidTr="008D0EF6">
        <w:tc>
          <w:tcPr>
            <w:tcW w:w="725" w:type="dxa"/>
            <w:gridSpan w:val="2"/>
            <w:vAlign w:val="center"/>
          </w:tcPr>
          <w:p w14:paraId="14C3FC22" w14:textId="77777777" w:rsidR="007E0C91" w:rsidRPr="007E0C91" w:rsidRDefault="007E0C91" w:rsidP="007E0C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C7C81">
              <w:rPr>
                <w:rFonts w:cs="Calibri Light"/>
                <w:noProof/>
                <w:color w:val="000000"/>
                <w:lang w:eastAsia="pl-PL"/>
              </w:rPr>
              <w:drawing>
                <wp:inline distT="0" distB="0" distL="0" distR="0" wp14:anchorId="7B4886F5" wp14:editId="286E6522">
                  <wp:extent cx="197708" cy="144000"/>
                  <wp:effectExtent l="0" t="0" r="0" b="8890"/>
                  <wp:docPr id="22" name="Obraz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DE3DC5-0771-4971-ADA6-6B7493660F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95DE3DC5-0771-4971-ADA6-6B7493660FA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2" w:type="dxa"/>
            <w:gridSpan w:val="4"/>
            <w:vAlign w:val="center"/>
          </w:tcPr>
          <w:p w14:paraId="3DAC628B" w14:textId="77777777" w:rsidR="007E0C91" w:rsidRPr="007E0C91" w:rsidRDefault="007E0C91" w:rsidP="00065DE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sz w:val="20"/>
                <w:szCs w:val="20"/>
              </w:rPr>
              <w:t>SYMBOL WYROBU MEDYCZNEGO</w:t>
            </w:r>
          </w:p>
        </w:tc>
      </w:tr>
      <w:tr w:rsidR="007E0C91" w14:paraId="63EF65CC" w14:textId="77777777" w:rsidTr="008D0EF6">
        <w:tc>
          <w:tcPr>
            <w:tcW w:w="725" w:type="dxa"/>
            <w:gridSpan w:val="2"/>
            <w:vAlign w:val="center"/>
          </w:tcPr>
          <w:p w14:paraId="7DA053E3" w14:textId="77777777" w:rsidR="007E0C91" w:rsidRPr="007E0C91" w:rsidRDefault="007E0C91" w:rsidP="007E0C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C7C81">
              <w:rPr>
                <w:rFonts w:cs="Calibri Light"/>
                <w:noProof/>
                <w:color w:val="000000"/>
                <w:lang w:eastAsia="pl-PL"/>
              </w:rPr>
              <w:drawing>
                <wp:inline distT="0" distB="0" distL="0" distR="0" wp14:anchorId="1F562137" wp14:editId="46450B01">
                  <wp:extent cx="221615" cy="144000"/>
                  <wp:effectExtent l="0" t="0" r="6985" b="8890"/>
                  <wp:docPr id="24" name="Obraz 24" descr="Znalezione obrazy dla zapytania: LOT SYMBOL PRODUK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D7849F-D840-42B4-A1F4-5ACD72B585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 descr="Znalezione obrazy dla zapytania: LOT SYMBOL PRODUKT">
                            <a:extLst>
                              <a:ext uri="{FF2B5EF4-FFF2-40B4-BE49-F238E27FC236}">
                                <a16:creationId xmlns:a16="http://schemas.microsoft.com/office/drawing/2014/main" id="{95D7849F-D840-42B4-A1F4-5ACD72B585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1" r="6666"/>
                          <a:stretch/>
                        </pic:blipFill>
                        <pic:spPr bwMode="auto">
                          <a:xfrm>
                            <a:off x="0" y="0"/>
                            <a:ext cx="221615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2" w:type="dxa"/>
            <w:gridSpan w:val="4"/>
            <w:vAlign w:val="center"/>
          </w:tcPr>
          <w:p w14:paraId="0ABF320A" w14:textId="77777777" w:rsidR="007E0C91" w:rsidRPr="007E0C91" w:rsidRDefault="007E0C91" w:rsidP="00065DE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sz w:val="20"/>
                <w:szCs w:val="20"/>
              </w:rPr>
              <w:t>KOD WYROBU</w:t>
            </w:r>
          </w:p>
        </w:tc>
      </w:tr>
      <w:tr w:rsidR="007E0C91" w14:paraId="574044BE" w14:textId="77777777" w:rsidTr="008D0EF6">
        <w:tc>
          <w:tcPr>
            <w:tcW w:w="725" w:type="dxa"/>
            <w:gridSpan w:val="2"/>
            <w:vAlign w:val="center"/>
          </w:tcPr>
          <w:p w14:paraId="72213DD7" w14:textId="77777777" w:rsidR="007E0C91" w:rsidRPr="007E0C91" w:rsidRDefault="007E0C91" w:rsidP="007E0C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C7C81">
              <w:rPr>
                <w:rFonts w:cs="Calibri Light"/>
                <w:noProof/>
                <w:color w:val="000000"/>
                <w:lang w:eastAsia="pl-PL"/>
              </w:rPr>
              <w:drawing>
                <wp:inline distT="0" distB="0" distL="0" distR="0" wp14:anchorId="61C3FEE7" wp14:editId="3716C015">
                  <wp:extent cx="150261" cy="144000"/>
                  <wp:effectExtent l="0" t="0" r="2540" b="8890"/>
                  <wp:docPr id="25" name="Obraz 25" descr="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827924-5F57-47B4-A466-FF0EA6F693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CE">
                            <a:extLst>
                              <a:ext uri="{FF2B5EF4-FFF2-40B4-BE49-F238E27FC236}">
                                <a16:creationId xmlns:a16="http://schemas.microsoft.com/office/drawing/2014/main" id="{76827924-5F57-47B4-A466-FF0EA6F6931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1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2" w:type="dxa"/>
            <w:gridSpan w:val="4"/>
            <w:vAlign w:val="center"/>
          </w:tcPr>
          <w:p w14:paraId="004E4F2E" w14:textId="77777777" w:rsidR="007E0C91" w:rsidRPr="007E0C91" w:rsidRDefault="007E0C91" w:rsidP="00065DE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sz w:val="20"/>
                <w:szCs w:val="20"/>
              </w:rPr>
              <w:t>ZNAK ZGODNOŚCI, ŚWIADCZĄCY O ZASTOSOWANIU I SPEŁNIENIU PRZEZ WYTWÓRCĘ ODPOWIEDNICH WYMAGAŃ ZAWARTYCH W DYREKTYWACH / ROZPORZĄDZENIACH EUROPEJSKICH ORAZ W NORMACH BEZPIECZEŃSTWA POWIĄZANYCH Z WYROBEM</w:t>
            </w:r>
          </w:p>
        </w:tc>
      </w:tr>
      <w:tr w:rsidR="007E0C91" w14:paraId="64412944" w14:textId="77777777" w:rsidTr="008D0EF6">
        <w:tc>
          <w:tcPr>
            <w:tcW w:w="725" w:type="dxa"/>
            <w:gridSpan w:val="2"/>
            <w:vAlign w:val="center"/>
          </w:tcPr>
          <w:p w14:paraId="579A0D3B" w14:textId="5F283F1A" w:rsidR="007E0C91" w:rsidRPr="007E0C91" w:rsidRDefault="006D1B66" w:rsidP="007E0C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D1B6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09C3A1" wp14:editId="5FA2C2A4">
                  <wp:extent cx="183281" cy="171263"/>
                  <wp:effectExtent l="0" t="0" r="7620" b="635"/>
                  <wp:docPr id="1189259742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38797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" cy="17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2" w:type="dxa"/>
            <w:gridSpan w:val="4"/>
            <w:vAlign w:val="center"/>
          </w:tcPr>
          <w:p w14:paraId="4BFA815A" w14:textId="352C8A98" w:rsidR="007E0C91" w:rsidRPr="007E0C91" w:rsidRDefault="007E0C91" w:rsidP="00065DE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sz w:val="20"/>
                <w:szCs w:val="20"/>
              </w:rPr>
              <w:t>WYTWÓRCA</w:t>
            </w:r>
            <w:r w:rsidR="00EC3CAC">
              <w:rPr>
                <w:rFonts w:asciiTheme="majorHAnsi" w:hAnsiTheme="majorHAnsi" w:cstheme="majorHAnsi"/>
                <w:sz w:val="20"/>
                <w:szCs w:val="20"/>
              </w:rPr>
              <w:t xml:space="preserve"> / PRODUCENT</w:t>
            </w:r>
          </w:p>
        </w:tc>
      </w:tr>
      <w:tr w:rsidR="007E0C91" w14:paraId="5DCA597F" w14:textId="77777777" w:rsidTr="008D0EF6">
        <w:tc>
          <w:tcPr>
            <w:tcW w:w="725" w:type="dxa"/>
            <w:gridSpan w:val="2"/>
            <w:vAlign w:val="center"/>
          </w:tcPr>
          <w:p w14:paraId="32D91229" w14:textId="77777777" w:rsidR="007E0C91" w:rsidRPr="007E0C91" w:rsidRDefault="007E0C91" w:rsidP="007E0C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object w:dxaOrig="2976" w:dyaOrig="2700" w14:anchorId="13023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" o:ole="" o:allowoverlap="f">
                  <v:imagedata r:id="rId18" o:title=""/>
                </v:shape>
                <o:OLEObject Type="Embed" ProgID="PBrush" ShapeID="_x0000_i1025" DrawAspect="Content" ObjectID="_1808549771" r:id="rId19"/>
              </w:object>
            </w:r>
          </w:p>
        </w:tc>
        <w:tc>
          <w:tcPr>
            <w:tcW w:w="10042" w:type="dxa"/>
            <w:gridSpan w:val="4"/>
            <w:vAlign w:val="center"/>
          </w:tcPr>
          <w:p w14:paraId="4C9A7D6B" w14:textId="77777777" w:rsidR="007E0C91" w:rsidRPr="007E0C91" w:rsidRDefault="007E0C91" w:rsidP="00065DE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E0C91">
              <w:rPr>
                <w:rFonts w:asciiTheme="majorHAnsi" w:hAnsiTheme="majorHAnsi" w:cstheme="majorHAnsi"/>
                <w:sz w:val="20"/>
                <w:szCs w:val="20"/>
              </w:rPr>
              <w:t>SYMBOL ZAWIERA INFORMACJE O ZAGROŻENIU WYPADKIEM LUB OBRAŻENIAMI CIAŁA. ZLEKCEWAŻENIE PODANYCH INFORMACJI MOŻE DOPROWADZIĆ DO POWSTANIA SZKODY NA WYROBIE LUB OSOBIE</w:t>
            </w:r>
          </w:p>
        </w:tc>
      </w:tr>
      <w:tr w:rsidR="004E4CE5" w14:paraId="7671CB47" w14:textId="77777777" w:rsidTr="006A1BA4">
        <w:tc>
          <w:tcPr>
            <w:tcW w:w="10767" w:type="dxa"/>
            <w:gridSpan w:val="6"/>
            <w:shd w:val="clear" w:color="auto" w:fill="BFBFBF" w:themeFill="background1" w:themeFillShade="BF"/>
          </w:tcPr>
          <w:p w14:paraId="3C4D242E" w14:textId="77777777" w:rsidR="004E4CE5" w:rsidRPr="004E4CE5" w:rsidRDefault="004E4CE5" w:rsidP="00435469">
            <w:pPr>
              <w:rPr>
                <w:rFonts w:asciiTheme="majorHAnsi" w:hAnsiTheme="majorHAnsi" w:cstheme="majorHAnsi"/>
                <w:b/>
                <w:bCs/>
              </w:rPr>
            </w:pPr>
            <w:r w:rsidRPr="004E4C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PRZEZNACZENIE</w:t>
            </w:r>
          </w:p>
        </w:tc>
      </w:tr>
      <w:tr w:rsidR="004E4CE5" w14:paraId="074B12B6" w14:textId="77777777" w:rsidTr="006A1BA4">
        <w:tc>
          <w:tcPr>
            <w:tcW w:w="10767" w:type="dxa"/>
            <w:gridSpan w:val="6"/>
          </w:tcPr>
          <w:p w14:paraId="53790F8B" w14:textId="77777777" w:rsidR="00D302D5" w:rsidRPr="00D302D5" w:rsidRDefault="00D302D5" w:rsidP="00D30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Program „</w:t>
            </w:r>
            <w:proofErr w:type="spellStart"/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SłuchKids</w:t>
            </w:r>
            <w:proofErr w:type="spellEnd"/>
            <w:r w:rsidRPr="00D302D5">
              <w:rPr>
                <w:rFonts w:asciiTheme="majorHAnsi" w:hAnsiTheme="majorHAnsi" w:cstheme="majorHAnsi"/>
                <w:sz w:val="20"/>
                <w:szCs w:val="20"/>
              </w:rPr>
              <w:t xml:space="preserve">” to program terapeutyczny (trening słuchowy) stworzony z myślą o dzieciach w wieku przedszkolnym i wczesnoszkolnym. Jego celem jest stymulacja wyższych funkcji słuchowych oraz wspieranie prawidłowego rozwoju mowy i umiejętności czytania i pisania. </w:t>
            </w:r>
          </w:p>
          <w:p w14:paraId="38479887" w14:textId="63D06E08" w:rsidR="00D302D5" w:rsidRPr="00D302D5" w:rsidRDefault="00D302D5" w:rsidP="00D30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Przeznaczony jest dla dzieci z zaburzeniami rozwojowymi, szczególnie w:</w:t>
            </w:r>
          </w:p>
          <w:p w14:paraId="2DB33E6C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nieprawidłowym rozwoju funkcji słuchowych</w:t>
            </w:r>
          </w:p>
          <w:p w14:paraId="506E84BC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zaburzeniach przetwarzania słuchowego</w:t>
            </w:r>
          </w:p>
          <w:p w14:paraId="3AE6EF6C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opóźnionym rozwoju mowy</w:t>
            </w:r>
          </w:p>
          <w:p w14:paraId="487BD4E1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zaburzeniach artykulacyjnych</w:t>
            </w:r>
          </w:p>
          <w:p w14:paraId="51A2A2FD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spektrum autyzmu</w:t>
            </w:r>
          </w:p>
          <w:p w14:paraId="6753A949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afazji dziecięcej</w:t>
            </w:r>
          </w:p>
          <w:p w14:paraId="12F37C2E" w14:textId="77777777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trudnościach w opanowaniu umiejętności czytania i pisania</w:t>
            </w:r>
          </w:p>
          <w:p w14:paraId="4EC36006" w14:textId="15059A0C" w:rsidR="00D302D5" w:rsidRPr="00D302D5" w:rsidRDefault="00D302D5" w:rsidP="00D302D5">
            <w:pPr>
              <w:pStyle w:val="Akapitzlist"/>
              <w:numPr>
                <w:ilvl w:val="0"/>
                <w:numId w:val="15"/>
              </w:numPr>
              <w:spacing w:before="0"/>
              <w:jc w:val="left"/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dysleksji</w:t>
            </w:r>
          </w:p>
          <w:p w14:paraId="473BE40F" w14:textId="7CDE1955" w:rsidR="00D302D5" w:rsidRPr="00D302D5" w:rsidRDefault="00D302D5" w:rsidP="00D30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Przeznaczony jest także dla dzieci z normatywnym rozwojem psychoruchowym jako forma profilaktyki i zapobiegania nieprawidłowościom w rozwoju funkcji słuchowych i mowy.</w:t>
            </w:r>
          </w:p>
          <w:p w14:paraId="1E7E9287" w14:textId="04C864F6" w:rsidR="00D302D5" w:rsidRPr="00D302D5" w:rsidRDefault="00D302D5" w:rsidP="00D30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Program ten zawiera szereg ćwiczeń, które koncentrują się na kluczowych obszarach, takich jak:</w:t>
            </w:r>
          </w:p>
          <w:p w14:paraId="78C81763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Uwaga słuchowa i pamięć słuchowa.</w:t>
            </w:r>
          </w:p>
          <w:p w14:paraId="2F3622B5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Różnicowanie cech dźwięków niewerbalnych (natężenie, wysokość, tempo, czas trwania).</w:t>
            </w:r>
          </w:p>
          <w:p w14:paraId="4ADE4967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Umiejętność różnicowania i zapamiętywania sekwencji dźwięków o różnej częstotliwości.</w:t>
            </w:r>
          </w:p>
          <w:p w14:paraId="4CB2D17A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Umiejętność różnicowania i zapamiętywania sekwencji dźwięków o różnej długości</w:t>
            </w:r>
          </w:p>
          <w:p w14:paraId="031B2617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Spostrzeganie głosek w nagłosie i wygłosie wyrazów.</w:t>
            </w:r>
          </w:p>
          <w:p w14:paraId="439101FE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Różnicowanie głosek w wyrazach, np. [ś/si -s-</w:t>
            </w:r>
            <w:proofErr w:type="spellStart"/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sz</w:t>
            </w:r>
            <w:proofErr w:type="spellEnd"/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, k-g, b-p itp.]</w:t>
            </w:r>
          </w:p>
          <w:p w14:paraId="2D064B9D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Różnicowanie paronimów.</w:t>
            </w:r>
          </w:p>
          <w:p w14:paraId="658F8473" w14:textId="77777777" w:rsidR="00D302D5" w:rsidRPr="00D302D5" w:rsidRDefault="00D302D5" w:rsidP="00D302D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Rozumienie mowy – dopasowywanie obrazków do usłyszanej treści.</w:t>
            </w:r>
          </w:p>
          <w:p w14:paraId="5A2CE49C" w14:textId="5EB84F54" w:rsidR="004E4CE5" w:rsidRPr="00D737D8" w:rsidRDefault="00D302D5" w:rsidP="00D302D5">
            <w:pPr>
              <w:numPr>
                <w:ilvl w:val="0"/>
                <w:numId w:val="15"/>
              </w:numPr>
            </w:pPr>
            <w:r w:rsidRPr="00D302D5">
              <w:rPr>
                <w:rFonts w:asciiTheme="majorHAnsi" w:hAnsiTheme="majorHAnsi" w:cstheme="majorHAnsi"/>
                <w:sz w:val="20"/>
                <w:szCs w:val="20"/>
              </w:rPr>
              <w:t>Rozumienie mowy w tle akustycznym [słowa i zdania].</w:t>
            </w:r>
          </w:p>
        </w:tc>
      </w:tr>
      <w:tr w:rsidR="004E4CE5" w14:paraId="7B9DD29A" w14:textId="77777777" w:rsidTr="006A1BA4">
        <w:tc>
          <w:tcPr>
            <w:tcW w:w="10767" w:type="dxa"/>
            <w:gridSpan w:val="6"/>
            <w:shd w:val="clear" w:color="auto" w:fill="BFBFBF" w:themeFill="background1" w:themeFillShade="BF"/>
          </w:tcPr>
          <w:p w14:paraId="66198204" w14:textId="023D547B" w:rsidR="004E4CE5" w:rsidRPr="007A4F17" w:rsidRDefault="008D0EF6" w:rsidP="004E4CE5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MINIMALNE WYMAGANIA </w:t>
            </w:r>
            <w:r w:rsidR="00D737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SPRZĘTOWE I </w:t>
            </w:r>
            <w:r w:rsidRPr="008D0E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SYSTEMOWE</w:t>
            </w:r>
          </w:p>
        </w:tc>
      </w:tr>
      <w:tr w:rsidR="004E4CE5" w:rsidRPr="006A1BA4" w14:paraId="32C708BD" w14:textId="77777777" w:rsidTr="006A1BA4">
        <w:tc>
          <w:tcPr>
            <w:tcW w:w="10767" w:type="dxa"/>
            <w:gridSpan w:val="6"/>
            <w:tcBorders>
              <w:bottom w:val="single" w:sz="4" w:space="0" w:color="auto"/>
            </w:tcBorders>
          </w:tcPr>
          <w:p w14:paraId="1A87E201" w14:textId="433E1B55" w:rsidR="00A80035" w:rsidRDefault="00A80035" w:rsidP="00D302D5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Komputer stacjonarny, laptop, tablet</w:t>
            </w:r>
          </w:p>
          <w:p w14:paraId="4D3D789A" w14:textId="30D7A6AF" w:rsidR="00D737D8" w:rsidRPr="00D302D5" w:rsidRDefault="00D737D8" w:rsidP="00D302D5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Windows 11, Android min 9.0</w:t>
            </w:r>
            <w:r w:rsidR="00A80035">
              <w:rPr>
                <w:rFonts w:asciiTheme="majorHAnsi" w:hAnsiTheme="majorHAnsi" w:cstheme="majorHAnsi"/>
              </w:rPr>
              <w:t xml:space="preserve">, </w:t>
            </w:r>
            <w:r w:rsidR="0013385B">
              <w:t>MacOS Sonoma 14.2.1</w:t>
            </w:r>
          </w:p>
          <w:p w14:paraId="4A487D51" w14:textId="77777777" w:rsidR="00D737D8" w:rsidRPr="00D302D5" w:rsidRDefault="00D737D8" w:rsidP="00D302D5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Ram min 4GB</w:t>
            </w:r>
          </w:p>
          <w:p w14:paraId="59FC704E" w14:textId="77777777" w:rsidR="00D737D8" w:rsidRDefault="00D737D8" w:rsidP="00D302D5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D302D5">
              <w:rPr>
                <w:rFonts w:asciiTheme="majorHAnsi" w:hAnsiTheme="majorHAnsi" w:cstheme="majorHAnsi"/>
              </w:rPr>
              <w:t>aktualna przeglądarka internetowa</w:t>
            </w:r>
          </w:p>
          <w:p w14:paraId="388DCB8F" w14:textId="6A67C56E" w:rsidR="004E4CE5" w:rsidRPr="00D302D5" w:rsidRDefault="009414CE" w:rsidP="00D302D5">
            <w:pPr>
              <w:rPr>
                <w:i/>
                <w:iCs/>
              </w:rPr>
            </w:pPr>
            <w:r>
              <w:object w:dxaOrig="2976" w:dyaOrig="2700" w14:anchorId="3CC276BB">
                <v:shape id="_x0000_i1026" type="#_x0000_t75" style="width:12.75pt;height:11.25pt" o:ole="" o:allowoverlap="f">
                  <v:imagedata r:id="rId18" o:title=""/>
                </v:shape>
                <o:OLEObject Type="Embed" ProgID="PBrush" ShapeID="_x0000_i1026" DrawAspect="Content" ObjectID="_1808549772" r:id="rId20"/>
              </w:object>
            </w:r>
            <w:r>
              <w:t xml:space="preserve">   </w:t>
            </w:r>
            <w:r w:rsidRPr="00D302D5">
              <w:rPr>
                <w:sz w:val="20"/>
                <w:szCs w:val="20"/>
              </w:rPr>
              <w:t xml:space="preserve">UWAGA Użytkowanie programu wymaga dostępu do </w:t>
            </w:r>
            <w:r w:rsidR="00D302D5" w:rsidRPr="00D302D5">
              <w:rPr>
                <w:sz w:val="20"/>
                <w:szCs w:val="20"/>
              </w:rPr>
              <w:t>Internetu.</w:t>
            </w:r>
            <w:r w:rsidR="00D302D5">
              <w:rPr>
                <w:sz w:val="20"/>
                <w:szCs w:val="20"/>
              </w:rPr>
              <w:t xml:space="preserve"> </w:t>
            </w:r>
            <w:r w:rsidR="00D302D5" w:rsidRPr="00D302D5">
              <w:rPr>
                <w:sz w:val="20"/>
                <w:szCs w:val="20"/>
              </w:rPr>
              <w:t>Niektóre zadania wymagają skorzystania ze słuchawek</w:t>
            </w:r>
            <w:r w:rsidR="00D302D5">
              <w:rPr>
                <w:sz w:val="20"/>
                <w:szCs w:val="20"/>
              </w:rPr>
              <w:t>.</w:t>
            </w:r>
            <w:r w:rsidR="00D302D5" w:rsidRPr="00D302D5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A4F17" w:rsidRPr="006A1BA4" w14:paraId="55D455FD" w14:textId="77777777" w:rsidTr="006A1BA4">
        <w:trPr>
          <w:trHeight w:val="108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86194" w14:textId="6512D7BB" w:rsidR="007A4F17" w:rsidRPr="006A1BA4" w:rsidRDefault="008D0EF6" w:rsidP="008D0EF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CZYNNOŚCI POCZĄTKOWE </w:t>
            </w:r>
            <w:r w:rsidR="00D737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–</w:t>
            </w:r>
            <w:r w:rsidRPr="008D0E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737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URUCHAMIANIE APLIKACJI</w:t>
            </w:r>
          </w:p>
        </w:tc>
      </w:tr>
      <w:tr w:rsidR="008D0EF6" w:rsidRPr="006A1BA4" w14:paraId="59A9C28C" w14:textId="77777777" w:rsidTr="008B7A9E">
        <w:trPr>
          <w:trHeight w:val="108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C869" w14:textId="2457FC46" w:rsidR="00D737D8" w:rsidRDefault="008D0EF6" w:rsidP="008D0EF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sz w:val="20"/>
                <w:szCs w:val="20"/>
              </w:rPr>
              <w:t xml:space="preserve">Po zakupie użytkownik musi wejść na stronę </w:t>
            </w:r>
            <w:hyperlink r:id="rId21" w:history="1">
              <w:r w:rsidR="00D737D8" w:rsidRPr="00D737D8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www.sluchkids.pl</w:t>
              </w:r>
            </w:hyperlink>
            <w:r w:rsidR="00D737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D0EF6">
              <w:rPr>
                <w:rFonts w:asciiTheme="majorHAnsi" w:hAnsiTheme="majorHAnsi" w:cstheme="majorHAnsi"/>
                <w:sz w:val="20"/>
                <w:szCs w:val="20"/>
              </w:rPr>
              <w:t xml:space="preserve">a następnie </w:t>
            </w:r>
            <w:r w:rsidR="00D737D8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D737D8" w:rsidRPr="00D737D8">
              <w:rPr>
                <w:rFonts w:asciiTheme="majorHAnsi" w:hAnsiTheme="majorHAnsi" w:cstheme="majorHAnsi"/>
                <w:sz w:val="20"/>
                <w:szCs w:val="20"/>
              </w:rPr>
              <w:t>ypełni</w:t>
            </w:r>
            <w:r w:rsidR="00D737D8">
              <w:rPr>
                <w:rFonts w:asciiTheme="majorHAnsi" w:hAnsiTheme="majorHAnsi" w:cstheme="majorHAnsi"/>
                <w:sz w:val="20"/>
                <w:szCs w:val="20"/>
              </w:rPr>
              <w:t>ć</w:t>
            </w:r>
            <w:r w:rsidR="00D737D8" w:rsidRPr="00D737D8">
              <w:rPr>
                <w:rFonts w:asciiTheme="majorHAnsi" w:hAnsiTheme="majorHAnsi" w:cstheme="majorHAnsi"/>
                <w:sz w:val="20"/>
                <w:szCs w:val="20"/>
              </w:rPr>
              <w:t xml:space="preserve"> formularz rejestracyjny</w:t>
            </w:r>
            <w:r w:rsidR="00D737D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228D154" w14:textId="77777777" w:rsidR="009414CE" w:rsidRDefault="009414CE" w:rsidP="008D0EF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03F813" w14:textId="57109835" w:rsidR="009414CE" w:rsidRDefault="00D737D8" w:rsidP="009414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object w:dxaOrig="2976" w:dyaOrig="2700" w14:anchorId="5EF77D73">
                <v:shape id="_x0000_i1027" type="#_x0000_t75" style="width:12.75pt;height:11.25pt" o:ole="" o:allowoverlap="f">
                  <v:imagedata r:id="rId18" o:title=""/>
                </v:shape>
                <o:OLEObject Type="Embed" ProgID="PBrush" ShapeID="_x0000_i1027" DrawAspect="Content" ObjectID="_1808549773" r:id="rId22"/>
              </w:object>
            </w:r>
            <w:r w:rsidR="009414CE" w:rsidRPr="008D0E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Podczas rejestracji należy podać klucz licencyjny, który otrzymano podczas zakupu programu. </w:t>
            </w:r>
            <w:r w:rsidR="009414CE" w:rsidRPr="008D0EF6">
              <w:rPr>
                <w:rFonts w:asciiTheme="majorHAnsi" w:hAnsiTheme="majorHAnsi" w:cstheme="majorHAnsi"/>
                <w:sz w:val="20"/>
                <w:szCs w:val="20"/>
              </w:rPr>
              <w:t xml:space="preserve">Proces 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>rejestracji</w:t>
            </w:r>
            <w:r w:rsidR="009414CE" w:rsidRPr="008D0EF6">
              <w:rPr>
                <w:rFonts w:asciiTheme="majorHAnsi" w:hAnsiTheme="majorHAnsi" w:cstheme="majorHAnsi"/>
                <w:sz w:val="20"/>
                <w:szCs w:val="20"/>
              </w:rPr>
              <w:t xml:space="preserve"> wymaga zaakceptowania tekstu licencji (warunków korzystania z programu) oraz podania danych rejestrowych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414CE" w:rsidRPr="008D0EF6">
              <w:rPr>
                <w:rFonts w:asciiTheme="majorHAnsi" w:hAnsiTheme="majorHAnsi" w:cstheme="majorHAnsi"/>
                <w:sz w:val="20"/>
                <w:szCs w:val="20"/>
              </w:rPr>
              <w:t>użytkownika.</w:t>
            </w:r>
          </w:p>
          <w:p w14:paraId="0C053C91" w14:textId="77777777" w:rsidR="009414CE" w:rsidRDefault="009414CE" w:rsidP="009414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1EE056" w14:textId="5E75C8AB" w:rsidR="009414CE" w:rsidRDefault="00D737D8" w:rsidP="009414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wypełnieniu 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formularza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użytkownik zostanie </w:t>
            </w:r>
            <w:r w:rsidRPr="00D737D8">
              <w:rPr>
                <w:rFonts w:asciiTheme="majorHAnsi" w:hAnsiTheme="majorHAnsi" w:cstheme="majorHAnsi"/>
                <w:sz w:val="20"/>
                <w:szCs w:val="20"/>
              </w:rPr>
              <w:t>przekierowany na stronę logowania się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D737D8">
              <w:rPr>
                <w:rFonts w:asciiTheme="majorHAnsi" w:hAnsiTheme="majorHAnsi" w:cstheme="majorHAnsi"/>
                <w:sz w:val="20"/>
                <w:szCs w:val="20"/>
              </w:rPr>
              <w:t xml:space="preserve">Podczas pierwszego uruchomienia, możliwy jest wydłużony czas ładowania się aplikacji. 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>Wypełnienie formularza wymagane jest jednorazowo. Przy kolejnych załączeniach aplikacji użytkownik może korzystać z panelu logowania.</w:t>
            </w:r>
          </w:p>
          <w:p w14:paraId="2B9B603B" w14:textId="77777777" w:rsidR="008D0EF6" w:rsidRDefault="00D737D8" w:rsidP="009414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37D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 zalogowaniu się, użytkownik zostaje przeniesiony na pulpit główny, który zawiera listę dostępnych ćwiczeń.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737D8">
              <w:rPr>
                <w:rFonts w:asciiTheme="majorHAnsi" w:hAnsiTheme="majorHAnsi" w:cstheme="majorHAnsi"/>
                <w:sz w:val="20"/>
                <w:szCs w:val="20"/>
              </w:rPr>
              <w:t>Rozpoczęcie ćwiczenia następuje poprzez klikniecie w nazwę wybranego ćwiczenia.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737D8">
              <w:rPr>
                <w:rFonts w:asciiTheme="majorHAnsi" w:hAnsiTheme="majorHAnsi" w:cstheme="majorHAnsi"/>
                <w:sz w:val="20"/>
                <w:szCs w:val="20"/>
              </w:rPr>
              <w:t>Powrót do pulpitu głównego możliwy jest w dowolnym momencie poprzez klikniecie w tytuł ćwiczenia znajdujący się w lewym górnym</w:t>
            </w:r>
            <w:r w:rsidR="009414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737D8">
              <w:rPr>
                <w:rFonts w:asciiTheme="majorHAnsi" w:hAnsiTheme="majorHAnsi" w:cstheme="majorHAnsi"/>
                <w:sz w:val="20"/>
                <w:szCs w:val="20"/>
              </w:rPr>
              <w:t>rogu planszy.</w:t>
            </w:r>
          </w:p>
          <w:p w14:paraId="2D8EC85F" w14:textId="4233B55B" w:rsidR="00D302D5" w:rsidRPr="009414CE" w:rsidRDefault="00D302D5" w:rsidP="009414C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Chcąc zakończyć pracę z program należy kliknąć przycisk „Wyloguj się” znajdujący się w prawym dolnym rogu.</w:t>
            </w:r>
          </w:p>
        </w:tc>
      </w:tr>
      <w:tr w:rsidR="004D1EBD" w:rsidRPr="006A1BA4" w14:paraId="6B48F0C3" w14:textId="77777777" w:rsidTr="006A1BA4">
        <w:trPr>
          <w:trHeight w:val="108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B6BF2" w14:textId="05258CE4" w:rsidR="004D1EBD" w:rsidRPr="006A1BA4" w:rsidRDefault="008D0EF6" w:rsidP="000D0A0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BEZPIECZNE KORZYSTANIE Z PROGRAMU</w:t>
            </w:r>
          </w:p>
        </w:tc>
      </w:tr>
      <w:tr w:rsidR="004D1EBD" w:rsidRPr="006A1BA4" w14:paraId="2FDF1D1F" w14:textId="77777777" w:rsidTr="006A1BA4">
        <w:trPr>
          <w:trHeight w:val="108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401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Podstawowe zasady bezpiecznej pracy z programem zawierają się w ogólnych zasadach korzystania z komputerów, monitorów</w:t>
            </w:r>
          </w:p>
          <w:p w14:paraId="38CF3ACC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oraz urządzeń peryferyjnych i są określane przez producentów używanego sprzętu.</w:t>
            </w:r>
          </w:p>
          <w:p w14:paraId="010F7530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Szczególną, ale niewyłączną, uwagę należy zwrócić na monitory, które mogą wymagać zachowania większej odległości lub</w:t>
            </w:r>
          </w:p>
          <w:p w14:paraId="490F5415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ograniczenia czasu pracy, a przy wybranych parametrach technicznych mogą oddziaływać negatywnie poprzez fotostymulację na</w:t>
            </w:r>
          </w:p>
          <w:p w14:paraId="6C197275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osoby ze schorzeniami neurologicznymi np. epilepsją.</w:t>
            </w:r>
          </w:p>
          <w:p w14:paraId="2748ED17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Należy również zachować ostrożność w odniesieniu do głośników lub słuchawek, które w przypadku nieprawidłowego ustawienia</w:t>
            </w:r>
          </w:p>
          <w:p w14:paraId="33BC4520" w14:textId="77777777" w:rsidR="008D0EF6" w:rsidRPr="008D0EF6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głośności na poziomie sprzętowym lub systemu operacyjnego mogą wyemitować dźwięk o zbyt dużym natężeniu, co jest</w:t>
            </w:r>
          </w:p>
          <w:p w14:paraId="3BAAD6F3" w14:textId="77777777" w:rsidR="006A1BA4" w:rsidRDefault="008D0EF6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niekontrolowane przez program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SłuchKids</w:t>
            </w:r>
            <w:proofErr w:type="spellEnd"/>
            <w:r w:rsidRPr="008D0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a może wpłynąć negatywnie na słuch użytkownika.</w:t>
            </w:r>
          </w:p>
          <w:p w14:paraId="3A39AA03" w14:textId="0BF19F26" w:rsidR="00D302D5" w:rsidRPr="00D302D5" w:rsidRDefault="00D302D5" w:rsidP="00D302D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 udostępniaj dostępu 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programu</w:t>
            </w:r>
            <w:r w:rsidRPr="00D302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innym osobom — Twoje konto jest tylko dla Ciebie</w:t>
            </w:r>
          </w:p>
          <w:p w14:paraId="513C11A0" w14:textId="5349AF9A" w:rsidR="00D302D5" w:rsidRPr="00D302D5" w:rsidRDefault="00D302D5" w:rsidP="00D302D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Wyloguj się 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programu</w:t>
            </w:r>
            <w:r w:rsidRPr="00D302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 zakończeniu pracy</w:t>
            </w:r>
          </w:p>
          <w:p w14:paraId="5C687F0E" w14:textId="0FF08049" w:rsidR="00D302D5" w:rsidRPr="00D302D5" w:rsidRDefault="00D302D5" w:rsidP="008D0EF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302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Unikaj łączenia się z publicznymi sieciami Wi-Fi podczas korzystania z aplikacji</w:t>
            </w:r>
          </w:p>
        </w:tc>
      </w:tr>
      <w:tr w:rsidR="004D1EBD" w:rsidRPr="006A1BA4" w14:paraId="5FB8539C" w14:textId="77777777" w:rsidTr="008D0EF6">
        <w:trPr>
          <w:trHeight w:val="2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D6CEA5B" w14:textId="24B038B1" w:rsidR="004D1EBD" w:rsidRPr="006A1BA4" w:rsidRDefault="000F638F" w:rsidP="000D0A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A1BA4">
              <w:rPr>
                <w:rFonts w:asciiTheme="majorHAnsi" w:hAnsiTheme="majorHAnsi" w:cstheme="majorHAnsi"/>
                <w:sz w:val="20"/>
                <w:szCs w:val="20"/>
              </w:rPr>
              <w:object w:dxaOrig="2976" w:dyaOrig="2700" w14:anchorId="26B3233C">
                <v:shape id="_x0000_i1028" type="#_x0000_t75" style="width:13.5pt;height:11.25pt" o:ole="">
                  <v:imagedata r:id="rId23" o:title=""/>
                </v:shape>
                <o:OLEObject Type="Embed" ProgID="PBrush" ShapeID="_x0000_i1028" DrawAspect="Content" ObjectID="_1808549774" r:id="rId24"/>
              </w:objec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677275" w14:textId="77777777" w:rsidR="004D1EBD" w:rsidRPr="00304999" w:rsidRDefault="004D1EBD" w:rsidP="000D0A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UWAGA</w:t>
            </w:r>
          </w:p>
        </w:tc>
        <w:tc>
          <w:tcPr>
            <w:tcW w:w="8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9EE4B1" w14:textId="2CEEFD3B" w:rsidR="004D1EBD" w:rsidRPr="00304999" w:rsidRDefault="000F638F" w:rsidP="000D0A0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WAŻNE INFORMACJE</w:t>
            </w:r>
          </w:p>
        </w:tc>
      </w:tr>
      <w:tr w:rsidR="000F638F" w:rsidRPr="006A1BA4" w14:paraId="3D965EB9" w14:textId="77777777" w:rsidTr="000F638F">
        <w:trPr>
          <w:trHeight w:val="266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2122" w14:textId="06E2D257" w:rsidR="009414CE" w:rsidRPr="00D302D5" w:rsidRDefault="009414CE" w:rsidP="007C6FFC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</w:rPr>
            </w:pPr>
            <w:r w:rsidRPr="00D302D5">
              <w:rPr>
                <w:rFonts w:asciiTheme="majorHAnsi" w:hAnsiTheme="majorHAnsi" w:cstheme="majorHAnsi"/>
                <w:b/>
                <w:bCs/>
              </w:rPr>
              <w:t xml:space="preserve">Podczas korzystania z programu dziecku powinien towarzyszyć terapeuta lub rodzic / opiekun, po instruktarzu udzielonym przez terapeutę. </w:t>
            </w:r>
          </w:p>
          <w:p w14:paraId="1C722C65" w14:textId="51087DB0" w:rsidR="009414CE" w:rsidRPr="00D302D5" w:rsidRDefault="009414CE" w:rsidP="00D302D5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</w:rPr>
            </w:pPr>
            <w:r w:rsidRPr="009414CE">
              <w:rPr>
                <w:rFonts w:asciiTheme="majorHAnsi" w:hAnsiTheme="majorHAnsi" w:cstheme="majorHAnsi"/>
                <w:b/>
                <w:bCs/>
              </w:rPr>
              <w:t>Tak jak w przypadku każdego treningu słuchowego dzieci z aktywną epilepsją, które chciał</w:t>
            </w:r>
            <w:r w:rsidR="00D302D5">
              <w:rPr>
                <w:rFonts w:asciiTheme="majorHAnsi" w:hAnsiTheme="majorHAnsi" w:cstheme="majorHAnsi"/>
                <w:b/>
                <w:bCs/>
              </w:rPr>
              <w:t>y</w:t>
            </w:r>
            <w:r w:rsidRPr="009414CE">
              <w:rPr>
                <w:rFonts w:asciiTheme="majorHAnsi" w:hAnsiTheme="majorHAnsi" w:cstheme="majorHAnsi"/>
                <w:b/>
                <w:bCs/>
              </w:rPr>
              <w:t>by</w:t>
            </w:r>
            <w:r w:rsidRPr="00D302D5">
              <w:rPr>
                <w:rFonts w:asciiTheme="majorHAnsi" w:hAnsiTheme="majorHAnsi" w:cstheme="majorHAnsi"/>
                <w:b/>
                <w:bCs/>
              </w:rPr>
              <w:t xml:space="preserve"> skorzystać z programu „SłuchKids – program multimedialny - MED” powinny skonsultować to z prowadzącym neurologiem.</w:t>
            </w:r>
          </w:p>
          <w:p w14:paraId="69AA1938" w14:textId="04E98417" w:rsidR="00304999" w:rsidRPr="00D302D5" w:rsidRDefault="000F638F" w:rsidP="00D302D5">
            <w:pPr>
              <w:pStyle w:val="Akapitzlis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414CE">
              <w:rPr>
                <w:rFonts w:asciiTheme="majorHAnsi" w:hAnsiTheme="majorHAnsi" w:cstheme="majorHAnsi"/>
                <w:b/>
                <w:bCs/>
              </w:rPr>
              <w:t>Każdy poważny incydent związany z wyrobem należy zgłosić producentowi i właściwemu organowi państwa członkowskiego, w którym użytkownik lub pacjent mają miejsce zamieszkania.</w:t>
            </w:r>
          </w:p>
        </w:tc>
      </w:tr>
      <w:tr w:rsidR="000F638F" w:rsidRPr="006A1BA4" w14:paraId="486D5FBE" w14:textId="77777777" w:rsidTr="008D0EF6">
        <w:trPr>
          <w:trHeight w:val="2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7AF9AE" w14:textId="070457C8" w:rsidR="000F638F" w:rsidRPr="000F638F" w:rsidRDefault="006D1B66" w:rsidP="000F638F">
            <w:pPr>
              <w:rPr>
                <w:rFonts w:asciiTheme="majorHAnsi" w:hAnsiTheme="majorHAnsi" w:cstheme="majorHAnsi"/>
                <w:b/>
                <w:bCs/>
              </w:rPr>
            </w:pPr>
            <w:r w:rsidRPr="006D1B6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3E77C4" wp14:editId="7D8CC462">
                  <wp:extent cx="183281" cy="171263"/>
                  <wp:effectExtent l="0" t="0" r="7620" b="635"/>
                  <wp:docPr id="1351438797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38797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" cy="17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9CD14" w14:textId="61577A59" w:rsidR="000F638F" w:rsidRPr="00304999" w:rsidRDefault="000F638F" w:rsidP="000F6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PRODUCENT</w:t>
            </w:r>
            <w:r w:rsidR="006D1B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4999" w:rsidRPr="006A1BA4" w14:paraId="581BE212" w14:textId="77777777" w:rsidTr="008D0EF6">
        <w:trPr>
          <w:trHeight w:val="26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C822D" w14:textId="77777777" w:rsidR="00304999" w:rsidRPr="00304999" w:rsidRDefault="00304999" w:rsidP="003049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Moje Bambino Sp. z o.o.</w:t>
            </w:r>
          </w:p>
          <w:p w14:paraId="7CBE1E38" w14:textId="0DF91BFD" w:rsidR="00304999" w:rsidRPr="00304999" w:rsidRDefault="00304999" w:rsidP="000F6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www.mojebambino.pl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F6883" w14:textId="77777777" w:rsidR="00304999" w:rsidRPr="00304999" w:rsidRDefault="00304999" w:rsidP="003049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ul. Graniczna 46,</w:t>
            </w:r>
          </w:p>
          <w:p w14:paraId="249A4DFF" w14:textId="3B087B23" w:rsidR="00304999" w:rsidRPr="00304999" w:rsidRDefault="00304999" w:rsidP="000F6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93-428 Łódź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3B4D" w14:textId="77777777" w:rsidR="00304999" w:rsidRPr="00304999" w:rsidRDefault="00304999" w:rsidP="003049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sz w:val="20"/>
                <w:szCs w:val="20"/>
              </w:rPr>
              <w:t>tel.</w:t>
            </w: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42 630 01 30 </w:t>
            </w:r>
            <w:r w:rsidRPr="00304999">
              <w:rPr>
                <w:rFonts w:asciiTheme="majorHAnsi" w:hAnsiTheme="majorHAnsi" w:cstheme="majorHAnsi"/>
                <w:sz w:val="20"/>
                <w:szCs w:val="20"/>
              </w:rPr>
              <w:t xml:space="preserve">fax </w:t>
            </w: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42 630 04 80 </w:t>
            </w:r>
          </w:p>
          <w:p w14:paraId="77281789" w14:textId="66E242FB" w:rsidR="00304999" w:rsidRPr="00304999" w:rsidRDefault="00304999" w:rsidP="000F6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4999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  <w:r w:rsidRPr="003049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hyperlink r:id="rId25" w:history="1">
              <w:r w:rsidRPr="00304999">
                <w:rPr>
                  <w:rStyle w:val="Hipercze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biuro@mojebambino.pl</w:t>
              </w:r>
            </w:hyperlink>
          </w:p>
        </w:tc>
      </w:tr>
    </w:tbl>
    <w:p w14:paraId="0080FC16" w14:textId="77777777" w:rsidR="004E4CE5" w:rsidRPr="006A1BA4" w:rsidRDefault="004E4CE5" w:rsidP="00304999">
      <w:pPr>
        <w:rPr>
          <w:rFonts w:asciiTheme="majorHAnsi" w:hAnsiTheme="majorHAnsi" w:cstheme="majorHAnsi"/>
          <w:sz w:val="20"/>
          <w:szCs w:val="20"/>
        </w:rPr>
      </w:pPr>
    </w:p>
    <w:sectPr w:rsidR="004E4CE5" w:rsidRPr="006A1BA4" w:rsidSect="003C5EED">
      <w:footerReference w:type="default" r:id="rId26"/>
      <w:pgSz w:w="11906" w:h="16838" w:code="9"/>
      <w:pgMar w:top="284" w:right="567" w:bottom="284" w:left="567" w:header="709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EDA812" w16cex:dateUtc="2025-05-08T12:09:00Z"/>
  <w16cex:commentExtensible w16cex:durableId="150D2338" w16cex:dateUtc="2025-05-08T12:04:00Z"/>
  <w16cex:commentExtensible w16cex:durableId="50EC5040" w16cex:dateUtc="2025-05-08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3116D8" w16cid:durableId="66EDA812"/>
  <w16cid:commentId w16cid:paraId="2782AE99" w16cid:durableId="150D2338"/>
  <w16cid:commentId w16cid:paraId="42B7BE8A" w16cid:durableId="50EC50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7CEA" w14:textId="77777777" w:rsidR="003276BF" w:rsidRDefault="003276BF" w:rsidP="00065DEC">
      <w:pPr>
        <w:spacing w:after="0" w:line="240" w:lineRule="auto"/>
      </w:pPr>
      <w:r>
        <w:separator/>
      </w:r>
    </w:p>
  </w:endnote>
  <w:endnote w:type="continuationSeparator" w:id="0">
    <w:p w14:paraId="1D1930B7" w14:textId="77777777" w:rsidR="003276BF" w:rsidRDefault="003276BF" w:rsidP="0006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-18127922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3CD484" w14:textId="1B78E7EC" w:rsidR="00065DEC" w:rsidRPr="00065DEC" w:rsidRDefault="00065DEC">
            <w:pPr>
              <w:pStyle w:val="Stopk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65DEC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680C19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065DEC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680C19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065D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B2EA" w14:textId="77777777" w:rsidR="003276BF" w:rsidRDefault="003276BF" w:rsidP="00065DEC">
      <w:pPr>
        <w:spacing w:after="0" w:line="240" w:lineRule="auto"/>
      </w:pPr>
      <w:r>
        <w:separator/>
      </w:r>
    </w:p>
  </w:footnote>
  <w:footnote w:type="continuationSeparator" w:id="0">
    <w:p w14:paraId="7D056412" w14:textId="77777777" w:rsidR="003276BF" w:rsidRDefault="003276BF" w:rsidP="0006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034"/>
    <w:multiLevelType w:val="hybridMultilevel"/>
    <w:tmpl w:val="898C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027"/>
    <w:multiLevelType w:val="hybridMultilevel"/>
    <w:tmpl w:val="9EE06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28B"/>
    <w:multiLevelType w:val="hybridMultilevel"/>
    <w:tmpl w:val="A6A23002"/>
    <w:lvl w:ilvl="0" w:tplc="AE84A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C28E1"/>
    <w:multiLevelType w:val="multilevel"/>
    <w:tmpl w:val="197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3CC2"/>
    <w:multiLevelType w:val="hybridMultilevel"/>
    <w:tmpl w:val="33A2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5EC"/>
    <w:multiLevelType w:val="hybridMultilevel"/>
    <w:tmpl w:val="5B2E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F6973"/>
    <w:multiLevelType w:val="hybridMultilevel"/>
    <w:tmpl w:val="7F0ED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3A77"/>
    <w:multiLevelType w:val="hybridMultilevel"/>
    <w:tmpl w:val="46FA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62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EF3C0A"/>
    <w:multiLevelType w:val="hybridMultilevel"/>
    <w:tmpl w:val="FBDEF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2745"/>
    <w:multiLevelType w:val="hybridMultilevel"/>
    <w:tmpl w:val="65D65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E0D"/>
    <w:multiLevelType w:val="hybridMultilevel"/>
    <w:tmpl w:val="A602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373D"/>
    <w:multiLevelType w:val="hybridMultilevel"/>
    <w:tmpl w:val="AD261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52B9"/>
    <w:multiLevelType w:val="hybridMultilevel"/>
    <w:tmpl w:val="8CC26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6E3"/>
    <w:multiLevelType w:val="hybridMultilevel"/>
    <w:tmpl w:val="0D8023D4"/>
    <w:lvl w:ilvl="0" w:tplc="E4C86E2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30E2"/>
    <w:multiLevelType w:val="hybridMultilevel"/>
    <w:tmpl w:val="D288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F16FA"/>
    <w:multiLevelType w:val="multilevel"/>
    <w:tmpl w:val="4AB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72E55"/>
    <w:multiLevelType w:val="hybridMultilevel"/>
    <w:tmpl w:val="46BAA0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AAB7E5C"/>
    <w:multiLevelType w:val="hybridMultilevel"/>
    <w:tmpl w:val="CA74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5B7C"/>
    <w:multiLevelType w:val="hybridMultilevel"/>
    <w:tmpl w:val="CF3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17"/>
  </w:num>
  <w:num w:numId="8">
    <w:abstractNumId w:val="19"/>
  </w:num>
  <w:num w:numId="9">
    <w:abstractNumId w:val="0"/>
  </w:num>
  <w:num w:numId="10">
    <w:abstractNumId w:val="9"/>
  </w:num>
  <w:num w:numId="11">
    <w:abstractNumId w:val="5"/>
  </w:num>
  <w:num w:numId="12">
    <w:abstractNumId w:val="15"/>
  </w:num>
  <w:num w:numId="13">
    <w:abstractNumId w:val="1"/>
  </w:num>
  <w:num w:numId="14">
    <w:abstractNumId w:val="14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3D"/>
    <w:rsid w:val="00054B99"/>
    <w:rsid w:val="00065DEC"/>
    <w:rsid w:val="000A4656"/>
    <w:rsid w:val="000F638F"/>
    <w:rsid w:val="000F694F"/>
    <w:rsid w:val="001148D0"/>
    <w:rsid w:val="0013385B"/>
    <w:rsid w:val="002F5DE2"/>
    <w:rsid w:val="002F76AB"/>
    <w:rsid w:val="00304999"/>
    <w:rsid w:val="003276BF"/>
    <w:rsid w:val="00342DFF"/>
    <w:rsid w:val="00361CA0"/>
    <w:rsid w:val="00381C98"/>
    <w:rsid w:val="003A02ED"/>
    <w:rsid w:val="003C5EED"/>
    <w:rsid w:val="003F4F13"/>
    <w:rsid w:val="00435469"/>
    <w:rsid w:val="004D1EBD"/>
    <w:rsid w:val="004E43FB"/>
    <w:rsid w:val="004E4CBE"/>
    <w:rsid w:val="004E4CE5"/>
    <w:rsid w:val="005D646E"/>
    <w:rsid w:val="00680C19"/>
    <w:rsid w:val="006A1BA4"/>
    <w:rsid w:val="006D1B66"/>
    <w:rsid w:val="00746A8C"/>
    <w:rsid w:val="00752E19"/>
    <w:rsid w:val="007A4F17"/>
    <w:rsid w:val="007E0C91"/>
    <w:rsid w:val="008057FE"/>
    <w:rsid w:val="00826A48"/>
    <w:rsid w:val="00850F3D"/>
    <w:rsid w:val="008D0EF6"/>
    <w:rsid w:val="009414CE"/>
    <w:rsid w:val="00A31E43"/>
    <w:rsid w:val="00A80035"/>
    <w:rsid w:val="00B53839"/>
    <w:rsid w:val="00B915DC"/>
    <w:rsid w:val="00BD02A7"/>
    <w:rsid w:val="00C03A96"/>
    <w:rsid w:val="00C20201"/>
    <w:rsid w:val="00CE5059"/>
    <w:rsid w:val="00D302D5"/>
    <w:rsid w:val="00D737D8"/>
    <w:rsid w:val="00EC3CAC"/>
    <w:rsid w:val="00F65E72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402"/>
  <w15:chartTrackingRefBased/>
  <w15:docId w15:val="{85D61109-5ECA-48DD-BB72-1FF9F86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DEC"/>
  </w:style>
  <w:style w:type="paragraph" w:styleId="Stopka">
    <w:name w:val="footer"/>
    <w:basedOn w:val="Normalny"/>
    <w:link w:val="StopkaZnak"/>
    <w:uiPriority w:val="99"/>
    <w:unhideWhenUsed/>
    <w:rsid w:val="0006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DEC"/>
  </w:style>
  <w:style w:type="paragraph" w:styleId="Akapitzlist">
    <w:name w:val="List Paragraph"/>
    <w:basedOn w:val="Normalny"/>
    <w:uiPriority w:val="34"/>
    <w:qFormat/>
    <w:rsid w:val="000F694F"/>
    <w:pPr>
      <w:spacing w:before="120" w:after="0" w:line="240" w:lineRule="auto"/>
      <w:ind w:left="720" w:hanging="431"/>
      <w:contextualSpacing/>
      <w:jc w:val="both"/>
    </w:pPr>
    <w:rPr>
      <w:rFonts w:ascii="Calibri Light" w:eastAsia="Times New Roman" w:hAnsi="Calibri Light" w:cs="Times New Roman"/>
      <w:noProof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C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C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CA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49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99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luchkids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svg"/><Relationship Id="rId25" Type="http://schemas.openxmlformats.org/officeDocument/2006/relationships/hyperlink" Target="mailto:biuro@mojebambino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B668-EC80-4356-98EB-D3DF220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Zmyślona</dc:creator>
  <cp:keywords/>
  <dc:description/>
  <cp:lastModifiedBy>Marek Busiak</cp:lastModifiedBy>
  <cp:revision>5</cp:revision>
  <cp:lastPrinted>2025-05-12T06:19:00Z</cp:lastPrinted>
  <dcterms:created xsi:type="dcterms:W3CDTF">2025-05-08T12:09:00Z</dcterms:created>
  <dcterms:modified xsi:type="dcterms:W3CDTF">2025-05-12T08:10:00Z</dcterms:modified>
</cp:coreProperties>
</file>